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3F2" w:rsidRPr="001E4F8C" w:rsidRDefault="004A32FD" w:rsidP="006E1F13">
      <w:pPr>
        <w:pStyle w:val="rozdzia"/>
        <w:rPr>
          <w:b/>
        </w:rPr>
      </w:pPr>
      <w:bookmarkStart w:id="0" w:name="_Toc498404603"/>
      <w:r w:rsidRPr="001E4F8C">
        <w:rPr>
          <w:b/>
        </w:rPr>
        <w:t>D.</w:t>
      </w:r>
      <w:r w:rsidR="000C52C9" w:rsidRPr="001E4F8C">
        <w:rPr>
          <w:b/>
        </w:rPr>
        <w:t>07.06.02</w:t>
      </w:r>
      <w:r w:rsidR="002C23F2" w:rsidRPr="001E4F8C">
        <w:rPr>
          <w:b/>
        </w:rPr>
        <w:tab/>
      </w:r>
      <w:bookmarkEnd w:id="0"/>
      <w:r w:rsidR="002C23F2" w:rsidRPr="001E4F8C">
        <w:rPr>
          <w:b/>
        </w:rPr>
        <w:t>URZĄDZENIA  ZABEZPIECZAJĄCE RUCH  PIESZY I ROWEROWY</w:t>
      </w:r>
    </w:p>
    <w:p w:rsidR="002C23F2" w:rsidRPr="00F83947" w:rsidRDefault="002C23F2" w:rsidP="006E1F13">
      <w:pPr>
        <w:pStyle w:val="rozdzia"/>
      </w:pPr>
    </w:p>
    <w:p w:rsidR="00F83947" w:rsidRPr="00F83947" w:rsidRDefault="00F83947" w:rsidP="00F83947">
      <w:pPr>
        <w:widowControl w:val="0"/>
        <w:suppressAutoHyphens/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1. Wstęp</w:t>
      </w:r>
    </w:p>
    <w:p w:rsidR="00F83947" w:rsidRPr="00F83947" w:rsidRDefault="00F83947" w:rsidP="00F83947">
      <w:pPr>
        <w:widowControl w:val="0"/>
        <w:suppressAutoHyphens/>
        <w:jc w:val="both"/>
        <w:rPr>
          <w:rFonts w:ascii="Arial" w:hAnsi="Arial" w:cs="Arial"/>
        </w:rPr>
      </w:pPr>
    </w:p>
    <w:p w:rsidR="00F83947" w:rsidRPr="00F83947" w:rsidRDefault="00F83947" w:rsidP="00F83947">
      <w:pPr>
        <w:widowControl w:val="0"/>
        <w:suppressAutoHyphens/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1.1. Przedmiot ST</w:t>
      </w:r>
    </w:p>
    <w:p w:rsid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Przedmiotem niniejszej Specyfikacji Technicznej są wymagania dotyczące wykonania i odbioru robót związanych z montażem urządzeń zabezpieczających ruch pieszych</w:t>
      </w:r>
      <w:r>
        <w:rPr>
          <w:rFonts w:ascii="Arial" w:hAnsi="Arial" w:cs="Arial"/>
          <w:sz w:val="20"/>
        </w:rPr>
        <w:t>.</w:t>
      </w:r>
    </w:p>
    <w:p w:rsidR="00F83947" w:rsidRP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</w:p>
    <w:p w:rsidR="00F83947" w:rsidRPr="00F83947" w:rsidRDefault="00F83947" w:rsidP="00F83947">
      <w:pPr>
        <w:widowControl w:val="0"/>
        <w:suppressAutoHyphens/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1.2. Zakres stosowania ST</w:t>
      </w:r>
    </w:p>
    <w:p w:rsidR="00F83947" w:rsidRDefault="00F83947" w:rsidP="00F83947">
      <w:pPr>
        <w:pStyle w:val="Tekstpodstawowy"/>
        <w:tabs>
          <w:tab w:val="left" w:pos="-1440"/>
          <w:tab w:val="left" w:pos="-720"/>
          <w:tab w:val="left" w:pos="0"/>
        </w:tabs>
        <w:ind w:firstLine="993"/>
        <w:rPr>
          <w:rFonts w:ascii="Arial" w:hAnsi="Arial" w:cs="Arial"/>
          <w:b/>
          <w:sz w:val="20"/>
        </w:rPr>
      </w:pPr>
    </w:p>
    <w:p w:rsidR="00F83947" w:rsidRPr="00F83947" w:rsidRDefault="00F83947" w:rsidP="00F83947">
      <w:pPr>
        <w:pStyle w:val="Tekstpodstawowy"/>
        <w:tabs>
          <w:tab w:val="left" w:pos="-1440"/>
          <w:tab w:val="left" w:pos="-720"/>
          <w:tab w:val="left" w:pos="0"/>
        </w:tabs>
        <w:ind w:firstLine="993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Specyfikacje Techniczne stanowią część Dokumentów Przetargowych i Umowy i należy je stosowa</w:t>
      </w:r>
      <w:r w:rsidRPr="00F83947">
        <w:rPr>
          <w:rFonts w:ascii="Arial" w:hAnsi="Arial" w:cs="Arial"/>
          <w:sz w:val="20"/>
        </w:rPr>
        <w:sym w:font="Times New Roman" w:char="0107"/>
      </w:r>
      <w:r w:rsidRPr="00F83947">
        <w:rPr>
          <w:rFonts w:ascii="Arial" w:hAnsi="Arial" w:cs="Arial"/>
          <w:sz w:val="20"/>
        </w:rPr>
        <w:t xml:space="preserve"> w zlecaniu i wykonaniu Robót opisanych w podpunkcie 1.1. </w:t>
      </w:r>
    </w:p>
    <w:p w:rsidR="00F83947" w:rsidRPr="00F83947" w:rsidRDefault="00F83947" w:rsidP="00F83947">
      <w:pPr>
        <w:pStyle w:val="Tekstpodstawowy"/>
        <w:widowControl w:val="0"/>
        <w:suppressAutoHyphens/>
        <w:ind w:firstLine="992"/>
        <w:rPr>
          <w:rFonts w:ascii="Arial" w:hAnsi="Arial" w:cs="Arial"/>
          <w:sz w:val="20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1.3. Zakres robót objętych ST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Ustalenia zawarte w niniejszej specyfikacja dotyczą prowadzenia robót przy ustawieniu urządzeń zabezpieczających ruch pieszy i obejmują:</w:t>
      </w:r>
    </w:p>
    <w:p w:rsidR="00F83947" w:rsidRPr="00F83947" w:rsidRDefault="00F83947" w:rsidP="00F83947">
      <w:pPr>
        <w:pStyle w:val="Tekstpodstawowy"/>
        <w:numPr>
          <w:ilvl w:val="0"/>
          <w:numId w:val="8"/>
        </w:numPr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ustawienie barier U-12a 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1.4. Określenia podstawowe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tekst"/>
        <w:jc w:val="both"/>
        <w:rPr>
          <w:rFonts w:ascii="Arial" w:hAnsi="Arial" w:cs="Arial"/>
          <w:sz w:val="20"/>
          <w:szCs w:val="20"/>
        </w:rPr>
      </w:pPr>
      <w:r w:rsidRPr="00F83947">
        <w:rPr>
          <w:rFonts w:ascii="Arial" w:hAnsi="Arial" w:cs="Arial"/>
          <w:b/>
          <w:sz w:val="20"/>
          <w:szCs w:val="20"/>
        </w:rPr>
        <w:t>1.4.1.</w:t>
      </w:r>
      <w:r w:rsidRPr="00F83947">
        <w:rPr>
          <w:rFonts w:ascii="Arial" w:hAnsi="Arial" w:cs="Arial"/>
          <w:sz w:val="20"/>
          <w:szCs w:val="20"/>
        </w:rPr>
        <w:t xml:space="preserve"> Ogrodzenia ochronne sztywne - przegrody fizyczne separujące ruch pieszy od ruchu kołowego wykonane z kształtowników stalowych, siatek na linkach naciągowych, ram z kształtowników wypełnionych siatką, szczeblinami lub panelami z tworzyw sztucznych lub szkła zbrojonego.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>1.4.3.</w:t>
      </w:r>
      <w:r w:rsidRPr="00F83947">
        <w:rPr>
          <w:rFonts w:ascii="Arial" w:hAnsi="Arial" w:cs="Arial"/>
          <w:sz w:val="20"/>
        </w:rPr>
        <w:t xml:space="preserve"> Pozostałe określenia podane w niniejszej ST są zgodne z odpowiednimi polskimi normami, wytycznymi i katalogami. </w:t>
      </w: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  <w:r w:rsidRPr="00F83947">
        <w:rPr>
          <w:rFonts w:ascii="Arial" w:hAnsi="Arial" w:cs="Arial"/>
          <w:b/>
          <w:sz w:val="20"/>
        </w:rPr>
        <w:t>1.5. Ogólne wymagania dotyczące robót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</w:p>
    <w:p w:rsidR="00F83947" w:rsidRP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Ogólne wymagania dotyczące robót podano w ST D.00.00.00. "Wymagania ogólne". 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2. Wyroby budowlane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2.1. Ogólne wymagania dotyczące wyrobów budowlanych.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Ogólne wymagania dotyczące wyrobów budowlanych podano w ST D.00.00.00 "Wymagania ogólne".</w:t>
      </w:r>
    </w:p>
    <w:p w:rsidR="00F83947" w:rsidRP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2.2. Wyrobami stosowanymi przy montażu ogrodzeń segmentowych są: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>2.2.1.</w:t>
      </w:r>
      <w:r w:rsidRPr="00F83947">
        <w:rPr>
          <w:rFonts w:ascii="Arial" w:hAnsi="Arial" w:cs="Arial"/>
          <w:sz w:val="20"/>
        </w:rPr>
        <w:t> Segmenty ogrodzeń segmentowych można wykonywać z ocynkowanych rur okrągłych i wyjątkowo z elementów o przekrojach kwa</w:t>
      </w:r>
      <w:bookmarkStart w:id="1" w:name="_GoBack"/>
      <w:bookmarkEnd w:id="1"/>
      <w:r w:rsidRPr="00F83947">
        <w:rPr>
          <w:rFonts w:ascii="Arial" w:hAnsi="Arial" w:cs="Arial"/>
          <w:sz w:val="20"/>
        </w:rPr>
        <w:t xml:space="preserve">dratowych, prostokątnych, z kształtowników czy też płaskowników, zgodnie z dokumentacją projektową, ST lub wskazaniami Inspektora Nadzoru Inwestorskiego.  </w:t>
      </w: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Wymiary segmentów oraz elementów nośnych powinny być zgodne z wymaganiami zał. 3 do rozporządzenia Ministra Infrastruktury w sprawie warunków technicznych dla znaków i sygnałów drogowych oraz urządzeń bezpieczeństwa ruchu drogowego i warunków ich umieszczania na drogach” z dnia 03.07.2003 (Dz. U. nr 220 poz. 2181) i powinny spełniać następujące parametry:</w:t>
      </w:r>
    </w:p>
    <w:p w:rsidR="00F83947" w:rsidRPr="00F83947" w:rsidRDefault="00F83947" w:rsidP="00F83947">
      <w:pPr>
        <w:pStyle w:val="Tekstpodstawowy"/>
        <w:numPr>
          <w:ilvl w:val="0"/>
          <w:numId w:val="11"/>
        </w:numPr>
        <w:ind w:left="1418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wysokość segmentu 1,1m przy chodnikach (część naziemna)</w:t>
      </w:r>
    </w:p>
    <w:p w:rsidR="00F83947" w:rsidRPr="00F83947" w:rsidRDefault="00F83947" w:rsidP="00F83947">
      <w:pPr>
        <w:pStyle w:val="Tekstpodstawowy"/>
        <w:numPr>
          <w:ilvl w:val="0"/>
          <w:numId w:val="11"/>
        </w:numPr>
        <w:ind w:left="1418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długość  segmentu balustrady U-12a – wielokrotność 2,0m,</w:t>
      </w:r>
    </w:p>
    <w:p w:rsidR="00F83947" w:rsidRPr="00F83947" w:rsidRDefault="00F83947" w:rsidP="00F83947">
      <w:pPr>
        <w:pStyle w:val="Tekstpodstawowy"/>
        <w:numPr>
          <w:ilvl w:val="0"/>
          <w:numId w:val="11"/>
        </w:numPr>
        <w:ind w:left="1418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odległość osi dolnej poręczy od poziomu terenu 0.55m,</w:t>
      </w:r>
    </w:p>
    <w:p w:rsidR="00F83947" w:rsidRPr="00F83947" w:rsidRDefault="00F83947" w:rsidP="00F83947">
      <w:pPr>
        <w:pStyle w:val="Tekstpodstawowy"/>
        <w:numPr>
          <w:ilvl w:val="0"/>
          <w:numId w:val="11"/>
        </w:numPr>
        <w:ind w:left="1418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naroża gięte (promień gięcia 250mm),</w:t>
      </w:r>
    </w:p>
    <w:p w:rsidR="00F83947" w:rsidRPr="00F83947" w:rsidRDefault="00F83947" w:rsidP="00F83947">
      <w:pPr>
        <w:pStyle w:val="Tekstpodstawowy"/>
        <w:numPr>
          <w:ilvl w:val="0"/>
          <w:numId w:val="11"/>
        </w:numPr>
        <w:ind w:left="1418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słupki z kotwą betonową, w dolnej części słupka element kotwiący zapobiegający wyrwaniu i obróceniu konstrukcji. </w:t>
      </w: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Spawanie rur dopuszczone tylko przy połączeniu dolnej poręczy ze słupkami, elementy poziome i pionowe wykonane z jednego kawałka rury (bez spawania lub innego łączenia). Odległość między panelami 60mm. Ogrodzenie malowane farbą proszkową.</w:t>
      </w: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Powierzchnia zewnętrzna i wewnętrzna rur nie powinna wykazywać wad w postaci łusek, pęknięć, zawalcowań i naderwań. Końce rur powinny być obcięte równo i prostopadle do osi rury. Rury powinny </w:t>
      </w:r>
      <w:r w:rsidRPr="00F83947">
        <w:rPr>
          <w:rFonts w:ascii="Arial" w:hAnsi="Arial" w:cs="Arial"/>
          <w:sz w:val="20"/>
        </w:rPr>
        <w:lastRenderedPageBreak/>
        <w:t>być proste. Dopuszczalne miejscowe odchylenia od prostej nie powinny przekraczać 1,5mm na 1m długości rury. Rury powinny być wykonane ze stali w gatunkach dopuszczonych przez normy (np. R55 ,R65, 1862A) PN-H-84023-07, PN-H-84018, PN-H-84019, PN-H_84020 lub inne. Wymiary i najważniejsze charakterystyki słupków pochwytów oraz przeciągów ogrodzeń należy przyjmować zgodnie z tablicą 1.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                  Tablica 1. Rury stalowe okrągłe bez szwu walcowane na gorąco wg PN-H-74219 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84"/>
        <w:gridCol w:w="1498"/>
        <w:gridCol w:w="2043"/>
        <w:gridCol w:w="1843"/>
      </w:tblGrid>
      <w:tr w:rsidR="00F83947" w:rsidRPr="00F83947" w:rsidTr="00BA3F6E">
        <w:trPr>
          <w:trHeight w:val="284"/>
          <w:jc w:val="center"/>
        </w:trPr>
        <w:tc>
          <w:tcPr>
            <w:tcW w:w="26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Średnica 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Grubość </w:t>
            </w:r>
          </w:p>
        </w:tc>
        <w:tc>
          <w:tcPr>
            <w:tcW w:w="3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Dopuszczalne odchyłki, % </w:t>
            </w:r>
          </w:p>
        </w:tc>
      </w:tr>
      <w:tr w:rsidR="00F83947" w:rsidRPr="00F83947" w:rsidTr="00BA3F6E">
        <w:trPr>
          <w:trHeight w:val="235"/>
          <w:jc w:val="center"/>
        </w:trPr>
        <w:tc>
          <w:tcPr>
            <w:tcW w:w="2684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zewnętrzna </w:t>
            </w:r>
          </w:p>
        </w:tc>
        <w:tc>
          <w:tcPr>
            <w:tcW w:w="1498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ścianki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średnicy zewnętrznej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grubości ścianki </w:t>
            </w:r>
          </w:p>
        </w:tc>
      </w:tr>
      <w:tr w:rsidR="00F83947" w:rsidRPr="00F83947" w:rsidTr="00BA3F6E">
        <w:trPr>
          <w:trHeight w:val="520"/>
          <w:jc w:val="center"/>
        </w:trPr>
        <w:tc>
          <w:tcPr>
            <w:tcW w:w="268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Przeciągi 51,0 </w:t>
            </w:r>
          </w:p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Słupki i pochwyty 60,3 </w:t>
            </w:r>
          </w:p>
        </w:tc>
        <w:tc>
          <w:tcPr>
            <w:tcW w:w="149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2,6 </w:t>
            </w:r>
          </w:p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4,0 </w:t>
            </w:r>
          </w:p>
        </w:tc>
        <w:tc>
          <w:tcPr>
            <w:tcW w:w="204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± 1,25 </w:t>
            </w:r>
          </w:p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± 1,25</w:t>
            </w:r>
          </w:p>
        </w:tc>
        <w:tc>
          <w:tcPr>
            <w:tcW w:w="184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± 15 </w:t>
            </w:r>
          </w:p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± 15</w:t>
            </w:r>
          </w:p>
        </w:tc>
      </w:tr>
    </w:tbl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Przeciągi mogą być wykonane z płaskowników 10x40mm.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Przekroje płaskowników balustrady: 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-pochwyt i słupki 80x12mm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-szczebliny i przeciągi 50x10mm</w:t>
      </w:r>
    </w:p>
    <w:p w:rsidR="00F83947" w:rsidRPr="00F83947" w:rsidRDefault="00F83947" w:rsidP="00F8394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                  </w:t>
      </w:r>
    </w:p>
    <w:p w:rsidR="00F83947" w:rsidRPr="00F83947" w:rsidRDefault="00F83947" w:rsidP="00F83947">
      <w:pPr>
        <w:pStyle w:val="styliwony0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83947">
        <w:rPr>
          <w:rFonts w:ascii="Arial" w:hAnsi="Arial" w:cs="Arial"/>
          <w:sz w:val="20"/>
          <w:szCs w:val="20"/>
        </w:rPr>
        <w:t>Płaskowniki powinny odpowiadać wymaganiom PN-H-93010. Powierzchnia płaskownika powinna być charakterystyczna dla procesu walcowania i wolna od wad. Dopuszczalne są usunięte wady przez szlifowanie lub dłutowanie z tym, że obrobiona powierzchnia powinna mieć łagodne wycięcia i zaokrąglone brzegi, a grubość płaskownika nie może zmniejszyć się poza dopuszczalną dolną odchyłkę wymiarową.</w:t>
      </w:r>
    </w:p>
    <w:p w:rsidR="00F83947" w:rsidRPr="00F83947" w:rsidRDefault="00F83947" w:rsidP="00F83947">
      <w:pPr>
        <w:pStyle w:val="styliwony0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83947">
        <w:rPr>
          <w:rFonts w:ascii="Arial" w:hAnsi="Arial" w:cs="Arial"/>
          <w:sz w:val="20"/>
          <w:szCs w:val="20"/>
        </w:rPr>
        <w:t>                Płaskowniki powinny być obcięte prostopadle do osi wzdłużnej płaskownika. Powierzchnia końców płaskownika nie powinna wykazywać rzadzizn, rozwarstwień, pęknięć i śladów jamy skurczowej widocznych nie uzbrojonym okiem.</w:t>
      </w:r>
    </w:p>
    <w:p w:rsidR="00F83947" w:rsidRPr="00F83947" w:rsidRDefault="00F83947" w:rsidP="00F83947">
      <w:pPr>
        <w:pStyle w:val="tekstost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83947">
        <w:rPr>
          <w:rFonts w:ascii="Arial" w:hAnsi="Arial" w:cs="Arial"/>
          <w:sz w:val="20"/>
          <w:szCs w:val="20"/>
        </w:rPr>
        <w:t>                Płaskowniki powinny być ze stali St3W lub St4W oraz mieć własności mechaniczne według PN-H-84020 - tablica 13 lub innej stali uzgodnionej z Inspektorem Nadzoru Inwestorskiego.</w:t>
      </w:r>
    </w:p>
    <w:p w:rsidR="00F83947" w:rsidRPr="00F83947" w:rsidRDefault="00F83947" w:rsidP="00F83947">
      <w:pPr>
        <w:ind w:firstLine="851"/>
        <w:rPr>
          <w:rFonts w:ascii="Arial" w:hAnsi="Arial" w:cs="Arial"/>
        </w:rPr>
      </w:pPr>
      <w:r w:rsidRPr="00F83947">
        <w:rPr>
          <w:rFonts w:ascii="Arial" w:hAnsi="Arial" w:cs="Arial"/>
        </w:rPr>
        <w:t>Tablica 3. Podstawowe własności kształtowników wg PN-H-84020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709"/>
        <w:gridCol w:w="708"/>
        <w:gridCol w:w="709"/>
        <w:gridCol w:w="709"/>
        <w:gridCol w:w="850"/>
        <w:gridCol w:w="1049"/>
        <w:gridCol w:w="1079"/>
      </w:tblGrid>
      <w:tr w:rsidR="00F83947" w:rsidRPr="00F83947" w:rsidTr="00BA3F6E">
        <w:trPr>
          <w:jc w:val="center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Stal</w:t>
            </w: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Granica plastyczności, </w:t>
            </w:r>
            <w:proofErr w:type="spellStart"/>
            <w:r w:rsidRPr="00F83947">
              <w:rPr>
                <w:rFonts w:ascii="Arial" w:hAnsi="Arial" w:cs="Arial"/>
              </w:rPr>
              <w:t>MPa</w:t>
            </w:r>
            <w:proofErr w:type="spellEnd"/>
            <w:r w:rsidRPr="00F83947">
              <w:rPr>
                <w:rFonts w:ascii="Arial" w:hAnsi="Arial" w:cs="Arial"/>
              </w:rPr>
              <w:t>, minimum dla wyrobów o grubości lub średnicy</w:t>
            </w:r>
          </w:p>
        </w:tc>
        <w:tc>
          <w:tcPr>
            <w:tcW w:w="297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Wytrzymałość na rozciąganie, </w:t>
            </w:r>
            <w:proofErr w:type="spellStart"/>
            <w:r w:rsidRPr="00F83947">
              <w:rPr>
                <w:rFonts w:ascii="Arial" w:hAnsi="Arial" w:cs="Arial"/>
              </w:rPr>
              <w:t>MPa</w:t>
            </w:r>
            <w:proofErr w:type="spellEnd"/>
            <w:r w:rsidRPr="00F83947">
              <w:rPr>
                <w:rFonts w:ascii="Arial" w:hAnsi="Arial" w:cs="Arial"/>
              </w:rPr>
              <w:t>, dla wyrobów o grubości lub średnicy</w:t>
            </w:r>
          </w:p>
        </w:tc>
      </w:tr>
      <w:tr w:rsidR="00F83947" w:rsidRPr="00F83947" w:rsidTr="00BA3F6E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</w:tcPr>
          <w:p w:rsidR="00F83947" w:rsidRPr="00F83947" w:rsidRDefault="00F83947" w:rsidP="00F8394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do </w:t>
            </w:r>
          </w:p>
          <w:p w:rsidR="00F83947" w:rsidRPr="00F83947" w:rsidRDefault="00F83947" w:rsidP="00F83947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40 mm"/>
              </w:smartTagPr>
              <w:r w:rsidRPr="00F83947">
                <w:rPr>
                  <w:rFonts w:ascii="Arial" w:hAnsi="Arial" w:cs="Arial"/>
                </w:rPr>
                <w:t>40 mm</w:t>
              </w:r>
            </w:smartTag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 40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 do 63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 63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 80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od 80 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 100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 100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 150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 150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 200</w:t>
            </w:r>
          </w:p>
        </w:tc>
        <w:tc>
          <w:tcPr>
            <w:tcW w:w="104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100mm</w:t>
            </w:r>
          </w:p>
        </w:tc>
        <w:tc>
          <w:tcPr>
            <w:tcW w:w="107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 100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 200</w:t>
            </w:r>
          </w:p>
        </w:tc>
      </w:tr>
      <w:tr w:rsidR="00F83947" w:rsidRPr="00F83947" w:rsidTr="00BA3F6E">
        <w:trPr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St3W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St4W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225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215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205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205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195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185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  360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  490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  420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  550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  340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  490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  400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  550</w:t>
            </w:r>
          </w:p>
        </w:tc>
      </w:tr>
    </w:tbl>
    <w:p w:rsidR="00F83947" w:rsidRPr="00F83947" w:rsidRDefault="00F83947" w:rsidP="00F83947">
      <w:pPr>
        <w:jc w:val="center"/>
        <w:rPr>
          <w:rFonts w:ascii="Arial" w:hAnsi="Arial" w:cs="Arial"/>
        </w:rPr>
      </w:pP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>2.2.2.</w:t>
      </w:r>
      <w:r w:rsidRPr="00F83947">
        <w:rPr>
          <w:rFonts w:ascii="Arial" w:hAnsi="Arial" w:cs="Arial"/>
          <w:sz w:val="20"/>
        </w:rPr>
        <w:t> Farba ftalowa ogólnego stosowania:</w:t>
      </w:r>
    </w:p>
    <w:p w:rsidR="00F83947" w:rsidRPr="00F83947" w:rsidRDefault="00F83947" w:rsidP="00F83947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farba podkładowa </w:t>
      </w:r>
    </w:p>
    <w:p w:rsidR="00F83947" w:rsidRPr="00F83947" w:rsidRDefault="00F83947" w:rsidP="00F83947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farba nawierzchniowa kryjąca</w:t>
      </w:r>
    </w:p>
    <w:p w:rsidR="00F83947" w:rsidRPr="00F83947" w:rsidRDefault="00F83947" w:rsidP="00F83947">
      <w:pPr>
        <w:ind w:left="702"/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>2.2.3.</w:t>
      </w:r>
      <w:r w:rsidRPr="00F83947">
        <w:rPr>
          <w:rFonts w:ascii="Arial" w:hAnsi="Arial" w:cs="Arial"/>
        </w:rPr>
        <w:t> Gudron - do pomalowania na gorąco części słupka stykającej się z betonem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  <w:r w:rsidRPr="00F83947">
        <w:rPr>
          <w:rFonts w:ascii="Arial" w:hAnsi="Arial" w:cs="Arial"/>
          <w:sz w:val="20"/>
        </w:rPr>
        <w:tab/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 xml:space="preserve">2.2.4. </w:t>
      </w:r>
      <w:r w:rsidRPr="00F83947">
        <w:rPr>
          <w:rFonts w:ascii="Arial" w:hAnsi="Arial" w:cs="Arial"/>
          <w:sz w:val="20"/>
        </w:rPr>
        <w:t>Cynk Raf spełniający wymagania PN-H-82200 o czystości nie mniejszej niż 99,5%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Nagwek2"/>
        <w:spacing w:before="0" w:after="0"/>
        <w:rPr>
          <w:rFonts w:ascii="Arial" w:hAnsi="Arial" w:cs="Arial"/>
          <w:b w:val="0"/>
        </w:rPr>
      </w:pPr>
      <w:r w:rsidRPr="00F83947">
        <w:rPr>
          <w:rFonts w:ascii="Arial" w:hAnsi="Arial" w:cs="Arial"/>
        </w:rPr>
        <w:t>2.2.5.</w:t>
      </w:r>
      <w:r w:rsidRPr="00F83947">
        <w:rPr>
          <w:rFonts w:ascii="Arial" w:hAnsi="Arial" w:cs="Arial"/>
          <w:b w:val="0"/>
        </w:rPr>
        <w:t> Beton C20/25 i jego składniki</w:t>
      </w:r>
    </w:p>
    <w:p w:rsidR="00F83947" w:rsidRPr="00F83947" w:rsidRDefault="00F83947" w:rsidP="00F83947">
      <w:pPr>
        <w:rPr>
          <w:rFonts w:ascii="Arial" w:hAnsi="Arial" w:cs="Arial"/>
        </w:rPr>
      </w:pP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ab/>
        <w:t>Deskowanie powinno zapewnić sztywność i niezmienność układu oraz bezpieczeństwo konstrukcji. Deskowanie powinno być skonstruowane w sposób umożliwiający łatwy jego montaż i demontaż. Przed wypełnieniem masą betonową, deskowanie powinno być sprawdzone, aby wykluczało wyciek zaprawy z masy betonowej, możliwość zniekształceń lub odchyleń w betonowanej konstrukcji.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ab/>
        <w:t>Klasa betonu ma być C20/25. Beton powinien odpowiadać wymaganiom PN-EN-206-1. Składnikami betonu są: cement, kruszywo, woda i domieszki.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lastRenderedPageBreak/>
        <w:tab/>
        <w:t>Cement stosowany do betonu powinien być cementem portlandzkim klasy co najmniej „32,5”, odpowiadającym wy</w:t>
      </w:r>
      <w:r>
        <w:rPr>
          <w:rFonts w:ascii="Arial" w:hAnsi="Arial" w:cs="Arial"/>
          <w:sz w:val="20"/>
        </w:rPr>
        <w:t xml:space="preserve">maganiom PN-EN-197-1. Transport </w:t>
      </w:r>
      <w:r w:rsidRPr="00F83947">
        <w:rPr>
          <w:rFonts w:ascii="Arial" w:hAnsi="Arial" w:cs="Arial"/>
          <w:sz w:val="20"/>
        </w:rPr>
        <w:t>i przechowywanie cementu powinny być zgodne z postanowieniami BN-88/B-6731-08.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Kruszywo do betonu (piasek, żwir, grys, mieszanka z kruszywa naturalnego sortowanego, kruszywa łamanego i otoczaków) powinno odpowiadać wymaganiom PN-EN 12620.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Woda powinna odpowiadać wymaganiom PN-EN 1008. Bez badań laboratoryjnych można stosować wodę pitną.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Domieszki chemiczne do betonu powinny być stosowane, jeśli przewiduje to dokumentacja projektowa, ST lub wskazania Inspektora Nadzoru Inwestorskiego, przy czym w przypadku braku danych dotyczących rodzaju domieszek, ich dobór powinien być dokonany zgodnie z zaleceniami PN-B-06250. Domieszki powinny odpowiadać PN-EN-934-2.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</w:p>
    <w:p w:rsidR="00F83947" w:rsidRPr="00F83947" w:rsidRDefault="00F83947" w:rsidP="00F83947">
      <w:pPr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2.6.4.</w:t>
      </w:r>
      <w:r w:rsidRPr="00F83947">
        <w:rPr>
          <w:rFonts w:ascii="Arial" w:hAnsi="Arial" w:cs="Arial"/>
        </w:rPr>
        <w:t>Gwarancja na ogrodzenia,</w:t>
      </w:r>
    </w:p>
    <w:p w:rsidR="00D12574" w:rsidRDefault="00D12574" w:rsidP="00F83947">
      <w:pPr>
        <w:ind w:firstLine="993"/>
        <w:jc w:val="both"/>
        <w:rPr>
          <w:rFonts w:ascii="Arial" w:hAnsi="Arial" w:cs="Arial"/>
          <w:b/>
        </w:rPr>
      </w:pPr>
    </w:p>
    <w:p w:rsidR="00D12574" w:rsidRDefault="00F83947" w:rsidP="00F83947">
      <w:pPr>
        <w:ind w:firstLine="993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Dla ogrodzeń oraz elementów mocujących wymagana jest 10 letnia gwarancja. Przedmiotem gwarancji są właściwości techniczne konstrukcji wsporczej oraz trwałość powło</w:t>
      </w:r>
      <w:r w:rsidR="00D12574">
        <w:rPr>
          <w:rFonts w:ascii="Arial" w:hAnsi="Arial" w:cs="Arial"/>
        </w:rPr>
        <w:t>ki malowanej.</w:t>
      </w:r>
    </w:p>
    <w:p w:rsidR="00F83947" w:rsidRPr="00F83947" w:rsidRDefault="00F83947" w:rsidP="00D12574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W razie utraty przez konstrukcje wsporcze w okresie gwarancji wymaganych przez ST właściwości technicznych Wykonawca zobowiązany jest przywrócić je poprzez wymianę konstrukcji lub jej naprawę.</w:t>
      </w:r>
    </w:p>
    <w:p w:rsidR="00F83947" w:rsidRPr="00F83947" w:rsidRDefault="00F83947" w:rsidP="00D12574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Ubytki powłoki malowanej z przyczyn innych niż działanie użytkowników drogi będą uzupełnione przez Wykonawcę nową powłoką cynkową.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3. Sprzęt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 xml:space="preserve">3.1. Ogólne wymagania dotyczące sprzętu. 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Ogólne wymagania dotyczące sprzętu podano w ST D-00.00.00 "Wymagania ogólne".</w:t>
      </w: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</w:p>
    <w:p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>3.2. Sprzęt do wykonania urządzeń zabezpieczających ruch pieszych</w:t>
      </w:r>
    </w:p>
    <w:p w:rsidR="00F83947" w:rsidRPr="00F83947" w:rsidRDefault="00F83947" w:rsidP="00F83947">
      <w:pPr>
        <w:pStyle w:val="StylIwony"/>
        <w:numPr>
          <w:ilvl w:val="12"/>
          <w:numId w:val="0"/>
        </w:numPr>
        <w:spacing w:before="0" w:after="0"/>
        <w:rPr>
          <w:rFonts w:ascii="Arial" w:hAnsi="Arial" w:cs="Arial"/>
          <w:b/>
          <w:sz w:val="20"/>
        </w:rPr>
      </w:pPr>
    </w:p>
    <w:p w:rsidR="00F83947" w:rsidRPr="00F83947" w:rsidRDefault="00F83947" w:rsidP="00F83947">
      <w:pPr>
        <w:pStyle w:val="StylIwony"/>
        <w:numPr>
          <w:ilvl w:val="12"/>
          <w:numId w:val="0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 xml:space="preserve">       </w:t>
      </w:r>
      <w:r w:rsidRPr="00F83947">
        <w:rPr>
          <w:rFonts w:ascii="Arial" w:hAnsi="Arial" w:cs="Arial"/>
          <w:sz w:val="20"/>
        </w:rPr>
        <w:tab/>
        <w:t>Wykonawca przystępujący do wykonania urządzeń zabezpieczających ruch pieszych powinien wykazać się możliwością korzystania z następującego sprzętu:</w:t>
      </w:r>
    </w:p>
    <w:p w:rsidR="00F83947" w:rsidRPr="00F83947" w:rsidRDefault="00F83947" w:rsidP="00F83947">
      <w:pPr>
        <w:pStyle w:val="StylIwony"/>
        <w:numPr>
          <w:ilvl w:val="0"/>
          <w:numId w:val="10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szpadli, łopat,</w:t>
      </w:r>
    </w:p>
    <w:p w:rsidR="00F83947" w:rsidRPr="00F83947" w:rsidRDefault="00F83947" w:rsidP="00F83947">
      <w:pPr>
        <w:pStyle w:val="StylIwony"/>
        <w:numPr>
          <w:ilvl w:val="0"/>
          <w:numId w:val="10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ewentualnych wiertnic do wykonania dołów pod słupki w gruncie zwięzłym,</w:t>
      </w:r>
    </w:p>
    <w:p w:rsidR="00F83947" w:rsidRPr="00F83947" w:rsidRDefault="00F83947" w:rsidP="00F83947">
      <w:pPr>
        <w:pStyle w:val="StylIwony"/>
        <w:numPr>
          <w:ilvl w:val="0"/>
          <w:numId w:val="10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betoniarek  przewoźnych do wykonywania fundamentów betonowych „na mokro”,</w:t>
      </w:r>
    </w:p>
    <w:p w:rsidR="00F83947" w:rsidRPr="00F83947" w:rsidRDefault="00F83947" w:rsidP="00F83947">
      <w:pPr>
        <w:pStyle w:val="StylIwony"/>
        <w:numPr>
          <w:ilvl w:val="0"/>
          <w:numId w:val="10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przenośnych zbiorników wody</w:t>
      </w:r>
    </w:p>
    <w:p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środków transportu,</w:t>
      </w:r>
    </w:p>
    <w:p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żurawi samochodowych o udźwigu do 4 t,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4. Transport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>4.1. Ogólne wymagania dotyczące transportu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ab/>
      </w:r>
      <w:r w:rsidRPr="00F83947">
        <w:rPr>
          <w:rFonts w:ascii="Arial" w:hAnsi="Arial" w:cs="Arial"/>
          <w:sz w:val="20"/>
        </w:rPr>
        <w:t>Ogólne wymagania dotyczące transportu podano w ST D.00.00.00 „Wymagania ogólne”.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</w:p>
    <w:p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4.2. Transport materiałów 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Transport elementów może odbywać się dowolnymi środkami transportu </w:t>
      </w:r>
      <w:r w:rsidRPr="00F83947">
        <w:rPr>
          <w:rFonts w:ascii="Arial" w:hAnsi="Arial" w:cs="Arial"/>
        </w:rPr>
        <w:br/>
        <w:t>(z uwzględnieniem wymiarów i ciężaru elementów) akceptowanymi przez Inspektora Nadzoru Inwestorskiego. W czasie transportu nie może dojść do uszkodzeń mechanicznych, a także nie może ulec uszkodzeniu zabezpieczenie antykorozyjne. Należy stosować przekładki z miękkiego drewna lub inne o podobnych cechach.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5. Wykonanie robót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>5.1. Ogólne zasady wykonania robót</w:t>
      </w:r>
    </w:p>
    <w:p w:rsidR="00F83947" w:rsidRPr="00F83947" w:rsidRDefault="00F83947" w:rsidP="00F83947">
      <w:pPr>
        <w:rPr>
          <w:rFonts w:ascii="Arial" w:hAnsi="Arial" w:cs="Arial"/>
        </w:rPr>
      </w:pP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ab/>
        <w:t>Ogólne zasady wykonania robót podano w ST D.00.00.00 „Wymagania ogólne”.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 xml:space="preserve">5.2. Zakres wykonywanych robót. 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>5.2.1</w:t>
      </w:r>
      <w:r w:rsidRPr="00F83947">
        <w:rPr>
          <w:rFonts w:ascii="Arial" w:hAnsi="Arial" w:cs="Arial"/>
        </w:rPr>
        <w:t>. Zakup i transport wyrobów oraz materiałów przewidzianych w niniejszej ST do wykonania robót.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Wykonawca jest zobowiązany do zastosowania wyrobów  wyszczególnionych w punkcie 2 niniejszej specyfikacji. Źródła pozyskania wyrobów muszą uzyskać akceptację Inspektora Nadzoru Inwestorskiego. Transport wyrobów opisano w punkcie 4 niniejszej ST.</w:t>
      </w:r>
    </w:p>
    <w:p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>5.2.2.</w:t>
      </w:r>
      <w:r w:rsidRPr="00F83947">
        <w:rPr>
          <w:rFonts w:ascii="Arial" w:hAnsi="Arial" w:cs="Arial"/>
        </w:rPr>
        <w:t> Oznakowanie robót prowadzonych w pasie drogowym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Oznakowanie robót prowadzonych w pasie drogowym należy wykonać zgodnie z projektem tymczasowej organizacji  ruchu.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color w:val="0000FF"/>
        </w:rPr>
      </w:pPr>
      <w:r w:rsidRPr="00F83947">
        <w:rPr>
          <w:rFonts w:ascii="Arial" w:hAnsi="Arial" w:cs="Arial"/>
          <w:b/>
        </w:rPr>
        <w:t>5.2.3.</w:t>
      </w:r>
      <w:r w:rsidRPr="00F83947">
        <w:rPr>
          <w:rFonts w:ascii="Arial" w:hAnsi="Arial" w:cs="Arial"/>
        </w:rPr>
        <w:t xml:space="preserve"> Sytuacyjne wyznaczenie odcinków ogrodzenia i balustrady należy dokonać </w:t>
      </w:r>
      <w:r w:rsidRPr="00F83947">
        <w:rPr>
          <w:rFonts w:ascii="Arial" w:hAnsi="Arial" w:cs="Arial"/>
        </w:rPr>
        <w:br/>
        <w:t xml:space="preserve">w oparciu o dokumentację projektową. Należy wyznaczyć miejsca osadzenia słupków. Przed osadzeniem słupków w fundamentach, część słupka stykającą się z betonem należy pomalować na gorąco gudronem. Wysokość ogrodzenia i balustrady wynosi </w:t>
      </w:r>
      <w:smartTag w:uri="urn:schemas-microsoft-com:office:smarttags" w:element="metricconverter">
        <w:smartTagPr>
          <w:attr w:name="ProductID" w:val="1,10 m"/>
        </w:smartTagPr>
        <w:r w:rsidRPr="00F83947">
          <w:rPr>
            <w:rFonts w:ascii="Arial" w:hAnsi="Arial" w:cs="Arial"/>
          </w:rPr>
          <w:t>1,10 m</w:t>
        </w:r>
      </w:smartTag>
      <w:r w:rsidRPr="00F83947">
        <w:rPr>
          <w:rFonts w:ascii="Arial" w:hAnsi="Arial" w:cs="Arial"/>
        </w:rPr>
        <w:t>.</w:t>
      </w:r>
      <w:r w:rsidRPr="00F83947">
        <w:rPr>
          <w:rFonts w:ascii="Arial" w:hAnsi="Arial" w:cs="Arial"/>
          <w:color w:val="0000FF"/>
        </w:rPr>
        <w:t xml:space="preserve"> 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pStyle w:val="Nagwek2"/>
        <w:spacing w:before="0" w:after="0"/>
        <w:rPr>
          <w:rFonts w:ascii="Arial" w:hAnsi="Arial" w:cs="Arial"/>
          <w:b w:val="0"/>
        </w:rPr>
      </w:pPr>
      <w:r w:rsidRPr="00F83947">
        <w:rPr>
          <w:rFonts w:ascii="Arial" w:hAnsi="Arial" w:cs="Arial"/>
        </w:rPr>
        <w:t>5.2.4.</w:t>
      </w:r>
      <w:r w:rsidRPr="00F83947">
        <w:rPr>
          <w:rFonts w:ascii="Arial" w:hAnsi="Arial" w:cs="Arial"/>
          <w:b w:val="0"/>
        </w:rPr>
        <w:t xml:space="preserve"> Wykonanie dołów pod słupki</w:t>
      </w:r>
    </w:p>
    <w:p w:rsidR="00F83947" w:rsidRPr="00F83947" w:rsidRDefault="00F83947" w:rsidP="00F83947">
      <w:pPr>
        <w:rPr>
          <w:rFonts w:ascii="Arial" w:hAnsi="Arial" w:cs="Arial"/>
        </w:rPr>
      </w:pPr>
    </w:p>
    <w:p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Wykopy pod słupki powinny mieć głębokość 0,8m i wymiary w planie umożliwiające wykonanie fundamentów o rzucie 0,40 x 0,40m dla słupków balustrady.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 gruntach zwięzłych można wykonać fundamenty o rzucie kołowym powierzchni  0,16m</w:t>
      </w:r>
      <w:r w:rsidRPr="00F83947">
        <w:rPr>
          <w:rFonts w:ascii="Arial" w:hAnsi="Arial" w:cs="Arial"/>
          <w:sz w:val="20"/>
          <w:vertAlign w:val="superscript"/>
        </w:rPr>
        <w:t>2</w:t>
      </w:r>
      <w:r w:rsidRPr="00F83947">
        <w:rPr>
          <w:rFonts w:ascii="Arial" w:hAnsi="Arial" w:cs="Arial"/>
          <w:sz w:val="20"/>
        </w:rPr>
        <w:t>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>5.2.5.</w:t>
      </w:r>
      <w:r w:rsidRPr="00F83947">
        <w:rPr>
          <w:rFonts w:ascii="Arial" w:hAnsi="Arial" w:cs="Arial"/>
        </w:rPr>
        <w:t xml:space="preserve"> Przygotowanie elementów 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ind w:firstLine="993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Dla uniknięcia spawania i wykonywania zabezpieczenia antykorozyjnego na budowie, zaleca się wykonywanie całkowicie wykończonych segmentów w warsztacie.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Grubość spoin winna być równa grubości spawanych elementów.</w:t>
      </w: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Segmenty balustrady wykonane będą zgodnie z wymaganiami zał.3 do rozporządzenia Ministra Infrastruktury w sprawie warunków technicznych dla znaków i sygnałów drogowych oraz urządzeń bezpieczeństwa ruchu z dnia 3.07.2003 (Dz.U.na.220 poz.2181) i  KB-4.3.7.(1) „Balustrady zabezpieczające”.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>5.2.6.</w:t>
      </w:r>
      <w:r w:rsidRPr="00F83947">
        <w:rPr>
          <w:rFonts w:ascii="Arial" w:hAnsi="Arial" w:cs="Arial"/>
          <w:sz w:val="20"/>
        </w:rPr>
        <w:t> Zabezpieczenie antykorozyjne.</w:t>
      </w: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</w:p>
    <w:p w:rsidR="00F83947" w:rsidRPr="00F83947" w:rsidRDefault="00F83947" w:rsidP="00F83947">
      <w:pPr>
        <w:pStyle w:val="Tekstpodstawowy"/>
        <w:ind w:firstLine="993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Po wykonaniu spawania segmenty ogrodzenia i balustrady należy oczyścić przez piaskowanie do klasy czystości S3 i nałożyć powłokę cynkową zanurzeniową o grubości min 80</w:t>
      </w:r>
      <w:r w:rsidRPr="00F83947">
        <w:rPr>
          <w:rFonts w:ascii="Arial" w:hAnsi="Arial" w:cs="Arial"/>
          <w:sz w:val="20"/>
        </w:rPr>
        <w:sym w:font="Symbol" w:char="F06D"/>
      </w:r>
      <w:r w:rsidRPr="00F83947">
        <w:rPr>
          <w:rFonts w:ascii="Arial" w:hAnsi="Arial" w:cs="Arial"/>
          <w:sz w:val="20"/>
        </w:rPr>
        <w:t>m lub natryskową o grubości 150</w:t>
      </w:r>
      <w:r w:rsidRPr="00F83947">
        <w:rPr>
          <w:rFonts w:ascii="Arial" w:hAnsi="Arial" w:cs="Arial"/>
          <w:sz w:val="20"/>
        </w:rPr>
        <w:sym w:font="Symbol" w:char="F06D"/>
      </w:r>
      <w:r w:rsidRPr="00F83947">
        <w:rPr>
          <w:rFonts w:ascii="Arial" w:hAnsi="Arial" w:cs="Arial"/>
          <w:sz w:val="20"/>
        </w:rPr>
        <w:t>m zgodnie z wymaganiami PN-H-97051, PN-H-97052 i BN-89/1076-62. Na powierzchnie ocynkowaną należy nałożyć farby gruntujące i nawierzchniowe o grubości 100</w:t>
      </w:r>
      <w:r w:rsidRPr="00F83947">
        <w:rPr>
          <w:rFonts w:ascii="Arial" w:hAnsi="Arial" w:cs="Arial"/>
          <w:sz w:val="20"/>
        </w:rPr>
        <w:sym w:font="Symbol" w:char="F06D"/>
      </w:r>
      <w:r w:rsidRPr="00F83947">
        <w:rPr>
          <w:rFonts w:ascii="Arial" w:hAnsi="Arial" w:cs="Arial"/>
          <w:sz w:val="20"/>
        </w:rPr>
        <w:t>m koloru popielatego na balustradach i pasy biało czerwone na ogrodzenia, przy czym pas przy fundamentach winien być biały.</w:t>
      </w:r>
    </w:p>
    <w:p w:rsidR="00F83947" w:rsidRPr="00F83947" w:rsidRDefault="00F83947" w:rsidP="00F83947">
      <w:pPr>
        <w:pStyle w:val="Tekstpodstawowy"/>
        <w:ind w:firstLine="993"/>
        <w:rPr>
          <w:rFonts w:ascii="Arial" w:hAnsi="Arial" w:cs="Arial"/>
          <w:sz w:val="20"/>
        </w:rPr>
      </w:pPr>
    </w:p>
    <w:p w:rsidR="00F83947" w:rsidRPr="00F83947" w:rsidRDefault="00F83947" w:rsidP="00F83947">
      <w:pPr>
        <w:pStyle w:val="Nagwek2"/>
        <w:spacing w:before="0" w:after="0"/>
        <w:rPr>
          <w:rFonts w:ascii="Arial" w:hAnsi="Arial" w:cs="Arial"/>
          <w:b w:val="0"/>
        </w:rPr>
      </w:pPr>
      <w:r w:rsidRPr="00F83947">
        <w:rPr>
          <w:rFonts w:ascii="Arial" w:hAnsi="Arial" w:cs="Arial"/>
        </w:rPr>
        <w:t>5.2.7.</w:t>
      </w:r>
      <w:r w:rsidRPr="00F83947">
        <w:rPr>
          <w:rFonts w:ascii="Arial" w:hAnsi="Arial" w:cs="Arial"/>
          <w:b w:val="0"/>
        </w:rPr>
        <w:t xml:space="preserve"> Ustawienie słupków wraz z wykonaniem fundamentów betonowych pod słupki</w:t>
      </w:r>
    </w:p>
    <w:p w:rsidR="00F83947" w:rsidRPr="00F83947" w:rsidRDefault="00F83947" w:rsidP="00F83947">
      <w:pPr>
        <w:rPr>
          <w:rFonts w:ascii="Arial" w:hAnsi="Arial" w:cs="Arial"/>
        </w:rPr>
      </w:pPr>
    </w:p>
    <w:p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Słupki mogą być osadzone w betonie ułożonym w dołku albo w deskowaniu bądź w fundamencie prefabrykowanym. Fundamenty wykonane w deskowaniu lub prefabrykowane w czasie zasypki mogą być obłożone kamieniami lub gruzem. Zasypka powinna  być zagęszczona. 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Słupek należy wstawić w gotowy wykop i napełnić otwór mieszanką betonową odpowiadającą wymaganiom punktu 2.2.5. Do czasu stwardnienia betonu barierę należy podeprzeć.</w:t>
      </w:r>
    </w:p>
    <w:p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Fundament betonowy wykonany „na mokro” osiągnie wymaganą twardość najszybciej po 7 dniach od ustawienia słupka w betonie, a jeśli temperatura w czasie wykonywania fundamentu jest niższa od 10</w:t>
      </w:r>
      <w:r w:rsidRPr="00F83947">
        <w:rPr>
          <w:rFonts w:ascii="Arial" w:hAnsi="Arial" w:cs="Arial"/>
          <w:sz w:val="20"/>
          <w:vertAlign w:val="superscript"/>
        </w:rPr>
        <w:t>o</w:t>
      </w:r>
      <w:r w:rsidRPr="00F83947">
        <w:rPr>
          <w:rFonts w:ascii="Arial" w:hAnsi="Arial" w:cs="Arial"/>
          <w:sz w:val="20"/>
        </w:rPr>
        <w:t>C - po 14 dniach. Beton fundamentów przez 7 dni należy utrzymać w stanie wilgotnym.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6. Kontrola jakości robót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 xml:space="preserve">6.1. Ogólne zasady kontroli jakości robót. 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Ogólne wymagania dotyczące kontroli podano w ST D.00.00.00. "Wymagania Ogólne".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6.2. Badania na etapie akceptacji wyrobów do robót.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Użyte przez Wykonawcę robót wyroby pod względem jakości muszą odpowiadać ustaleniom punktu 2 niniejszej ST oraz podanych norm.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  <w:r w:rsidRPr="00F83947">
        <w:rPr>
          <w:rFonts w:ascii="Arial" w:hAnsi="Arial" w:cs="Arial"/>
          <w:b/>
          <w:sz w:val="20"/>
        </w:rPr>
        <w:t>6.3. Kontrola w czasie wykonywania robót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</w:p>
    <w:p w:rsidR="00F83947" w:rsidRPr="00F83947" w:rsidRDefault="00F83947" w:rsidP="00F83947">
      <w:pPr>
        <w:pStyle w:val="StylIwony"/>
        <w:spacing w:before="0" w:after="0"/>
        <w:ind w:firstLine="993"/>
        <w:rPr>
          <w:rFonts w:ascii="Arial" w:hAnsi="Arial" w:cs="Arial"/>
          <w:b/>
          <w:sz w:val="20"/>
        </w:rPr>
      </w:pPr>
      <w:r w:rsidRPr="00F83947">
        <w:rPr>
          <w:rFonts w:ascii="Arial" w:hAnsi="Arial" w:cs="Arial"/>
          <w:sz w:val="20"/>
        </w:rPr>
        <w:t>Wszystkie materiały dostarczone na budowę z zaświadczeniem o jakości (atestem) producenta powinny być sprawdzone w zakresie powierzchni wyrobu i jego wymiarów.</w:t>
      </w:r>
    </w:p>
    <w:p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 czasie wykonywania urządzeń zabezpieczających ruch pieszych należy zbadać:</w:t>
      </w:r>
    </w:p>
    <w:p w:rsidR="00F83947" w:rsidRPr="00F83947" w:rsidRDefault="00F83947" w:rsidP="00F83947">
      <w:pPr>
        <w:pStyle w:val="StylIwony"/>
        <w:numPr>
          <w:ilvl w:val="0"/>
          <w:numId w:val="6"/>
        </w:numPr>
        <w:spacing w:before="0" w:after="0"/>
        <w:ind w:left="284" w:hanging="284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zgodność wykonania urządzeń z dokumentacją projektową (lokalizacja, wymiary),</w:t>
      </w:r>
    </w:p>
    <w:p w:rsidR="00F83947" w:rsidRPr="00F83947" w:rsidRDefault="00F83947" w:rsidP="00F83947">
      <w:pPr>
        <w:pStyle w:val="StylIwony"/>
        <w:numPr>
          <w:ilvl w:val="0"/>
          <w:numId w:val="6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zachowanie dopuszczalnych odchyłek wymiarów,</w:t>
      </w:r>
    </w:p>
    <w:p w:rsidR="00F83947" w:rsidRPr="00F83947" w:rsidRDefault="00F83947" w:rsidP="00F83947">
      <w:pPr>
        <w:pStyle w:val="StylIwony"/>
        <w:numPr>
          <w:ilvl w:val="0"/>
          <w:numId w:val="6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prawidłowość wykonania wykopów pod słupki,</w:t>
      </w:r>
    </w:p>
    <w:p w:rsidR="00F83947" w:rsidRPr="00F83947" w:rsidRDefault="00F83947" w:rsidP="00F83947">
      <w:pPr>
        <w:pStyle w:val="StylIwony"/>
        <w:numPr>
          <w:ilvl w:val="0"/>
          <w:numId w:val="6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poprawność wykonania fundamentów pod słupki,</w:t>
      </w:r>
    </w:p>
    <w:p w:rsidR="00F83947" w:rsidRPr="00F83947" w:rsidRDefault="00F83947" w:rsidP="00F83947">
      <w:pPr>
        <w:pStyle w:val="StylIwony"/>
        <w:numPr>
          <w:ilvl w:val="0"/>
          <w:numId w:val="6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poprawność ustawienia segmentów ogrodzenia,</w:t>
      </w:r>
    </w:p>
    <w:p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 przypadku wykonania spawanych złącz elementów urządzeń:</w:t>
      </w:r>
    </w:p>
    <w:p w:rsidR="00F83947" w:rsidRPr="00F83947" w:rsidRDefault="00F83947" w:rsidP="00F83947">
      <w:pPr>
        <w:pStyle w:val="StylIwony"/>
        <w:numPr>
          <w:ilvl w:val="0"/>
          <w:numId w:val="7"/>
        </w:numPr>
        <w:spacing w:before="0" w:after="0"/>
        <w:ind w:left="284" w:hanging="284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przed oględzinami, spoinę i przylegające do niej elementy łączone (od 10 do </w:t>
      </w:r>
      <w:smartTag w:uri="urn:schemas-microsoft-com:office:smarttags" w:element="metricconverter">
        <w:smartTagPr>
          <w:attr w:name="ProductID" w:val="20 mm"/>
        </w:smartTagPr>
        <w:r w:rsidRPr="00F83947">
          <w:rPr>
            <w:rFonts w:ascii="Arial" w:hAnsi="Arial" w:cs="Arial"/>
            <w:sz w:val="20"/>
          </w:rPr>
          <w:t>20 mm</w:t>
        </w:r>
      </w:smartTag>
      <w:r w:rsidRPr="00F83947">
        <w:rPr>
          <w:rFonts w:ascii="Arial" w:hAnsi="Arial" w:cs="Arial"/>
          <w:sz w:val="20"/>
        </w:rPr>
        <w:t xml:space="preserve"> </w:t>
      </w:r>
      <w:r w:rsidRPr="00F83947">
        <w:rPr>
          <w:rFonts w:ascii="Arial" w:hAnsi="Arial" w:cs="Arial"/>
          <w:sz w:val="20"/>
        </w:rPr>
        <w:br/>
        <w:t xml:space="preserve">z każdej strony) należy dokładnie oczyścić z żużla, zgorzeliny, odprysków, rdzy, farb </w:t>
      </w:r>
      <w:r w:rsidRPr="00F83947">
        <w:rPr>
          <w:rFonts w:ascii="Arial" w:hAnsi="Arial" w:cs="Arial"/>
          <w:sz w:val="20"/>
        </w:rPr>
        <w:br/>
        <w:t>i innych zanieczyszczeń utrudniających prowadzenie obserwacji i pomiarów,</w:t>
      </w:r>
    </w:p>
    <w:p w:rsidR="00F83947" w:rsidRPr="00F83947" w:rsidRDefault="00F83947" w:rsidP="00F83947">
      <w:pPr>
        <w:pStyle w:val="StylIwony"/>
        <w:numPr>
          <w:ilvl w:val="0"/>
          <w:numId w:val="7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oględziny złączy należy przeprowadzić wizualnie z ewentualnym użyciem lupy o powiększeniu od 2 do 4 razy; do pomiarów spoin powinny być stosowane wzorniki, przymiary oraz uniwersalne spoinomierze,</w:t>
      </w:r>
    </w:p>
    <w:p w:rsidR="00F83947" w:rsidRPr="00F83947" w:rsidRDefault="00F83947" w:rsidP="00F83947">
      <w:pPr>
        <w:pStyle w:val="StylIwony"/>
        <w:numPr>
          <w:ilvl w:val="0"/>
          <w:numId w:val="7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 przypadkach wątpliwych można zlecić uprawnionej jednostce zbadanie wytrzymałości zmęczeniowej spoin, zgodnie z PN-M-06515,</w:t>
      </w:r>
    </w:p>
    <w:p w:rsidR="00F83947" w:rsidRPr="00F83947" w:rsidRDefault="00F83947" w:rsidP="00F83947">
      <w:pPr>
        <w:pStyle w:val="StylIwony"/>
        <w:numPr>
          <w:ilvl w:val="0"/>
          <w:numId w:val="7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złącza o wadach większych niż dopuszczalne powinny być naprawione powtórnym spawaniem.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 xml:space="preserve">6.4. Zgodność wykonania elementów </w:t>
      </w:r>
      <w:r w:rsidRPr="00F83947">
        <w:rPr>
          <w:rFonts w:ascii="Arial" w:hAnsi="Arial" w:cs="Arial"/>
        </w:rPr>
        <w:t xml:space="preserve">z ustaleniami niniejszej ST i KB4-4.3.7. 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 xml:space="preserve">6.5. Prawidłowość osadzenia ogrodzenia </w:t>
      </w:r>
      <w:r w:rsidRPr="00F83947">
        <w:rPr>
          <w:rFonts w:ascii="Arial" w:hAnsi="Arial" w:cs="Arial"/>
        </w:rPr>
        <w:t>należy kontrolować pod względem zgodności z dokumentacją projektową i ustaleniami KB4-4.3.7.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 xml:space="preserve">6.6. Prawidłowość malowania elementów ogrodzenia </w:t>
      </w:r>
      <w:r w:rsidRPr="00F83947">
        <w:rPr>
          <w:rFonts w:ascii="Arial" w:hAnsi="Arial" w:cs="Arial"/>
        </w:rPr>
        <w:t>należy kontrolować na podstawie ustaleń niniejszej ST oraz KB4-4.3.7.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7.  Obmiar robót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Nagwek2"/>
        <w:numPr>
          <w:ilvl w:val="1"/>
          <w:numId w:val="9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 w:rsidRPr="00F83947">
        <w:rPr>
          <w:rFonts w:ascii="Arial" w:hAnsi="Arial" w:cs="Arial"/>
        </w:rPr>
        <w:t>Ogólne zasady obmiaru robót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tabs>
          <w:tab w:val="left" w:pos="426"/>
        </w:tabs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ab/>
      </w:r>
      <w:r w:rsidRPr="00F83947">
        <w:rPr>
          <w:rFonts w:ascii="Arial" w:hAnsi="Arial" w:cs="Arial"/>
        </w:rPr>
        <w:tab/>
        <w:t>Ogólne zasady obmiaru robót podano w ST D.00.00.00. "Wymagania Ogólne".</w:t>
      </w:r>
    </w:p>
    <w:p w:rsidR="00F83947" w:rsidRPr="00F83947" w:rsidRDefault="00F83947" w:rsidP="00F83947">
      <w:pPr>
        <w:tabs>
          <w:tab w:val="left" w:pos="426"/>
        </w:tabs>
        <w:jc w:val="both"/>
        <w:rPr>
          <w:rFonts w:ascii="Arial" w:hAnsi="Arial" w:cs="Arial"/>
        </w:rPr>
      </w:pPr>
    </w:p>
    <w:p w:rsidR="00F83947" w:rsidRPr="00F83947" w:rsidRDefault="00F83947" w:rsidP="00F83947">
      <w:pPr>
        <w:pStyle w:val="Nagwek2"/>
        <w:numPr>
          <w:ilvl w:val="1"/>
          <w:numId w:val="9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 w:rsidRPr="00F83947">
        <w:rPr>
          <w:rFonts w:ascii="Arial" w:hAnsi="Arial" w:cs="Arial"/>
        </w:rPr>
        <w:t>Jednostka obmiarowa</w:t>
      </w:r>
    </w:p>
    <w:p w:rsidR="00F83947" w:rsidRPr="00F83947" w:rsidRDefault="00F83947" w:rsidP="00F83947">
      <w:pPr>
        <w:tabs>
          <w:tab w:val="left" w:pos="426"/>
        </w:tabs>
        <w:jc w:val="both"/>
        <w:rPr>
          <w:rFonts w:ascii="Arial" w:hAnsi="Arial" w:cs="Arial"/>
        </w:rPr>
      </w:pPr>
    </w:p>
    <w:p w:rsidR="00F83947" w:rsidRPr="00F83947" w:rsidRDefault="00F83947" w:rsidP="00F83947">
      <w:pPr>
        <w:tabs>
          <w:tab w:val="left" w:pos="426"/>
        </w:tabs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ab/>
      </w:r>
      <w:r w:rsidRPr="00F83947">
        <w:rPr>
          <w:rFonts w:ascii="Arial" w:hAnsi="Arial" w:cs="Arial"/>
        </w:rPr>
        <w:tab/>
        <w:t>Jednostką obmiaru jest 1m ustawionego ogrodzenia segmentowego.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8. Odbiór robót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 xml:space="preserve">8.1. Ogólne zasady odbioru robót </w:t>
      </w:r>
      <w:r w:rsidRPr="00F83947">
        <w:rPr>
          <w:rFonts w:ascii="Arial" w:hAnsi="Arial" w:cs="Arial"/>
        </w:rPr>
        <w:t>podano w ST D.00.00.00. "Wymagania Ogólne".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 xml:space="preserve">8.2. Roboty </w:t>
      </w:r>
      <w:r w:rsidRPr="00F83947">
        <w:rPr>
          <w:rFonts w:ascii="Arial" w:hAnsi="Arial" w:cs="Arial"/>
          <w:sz w:val="20"/>
        </w:rPr>
        <w:t xml:space="preserve">uznaje się za wykonane zgodnie z dokumentacją projektową, ST i wymaganiami Inspektora Nadzoru Inwestorskiego, jeżeli wszystkie pomiary i badania z zachowaniem tolerancji wg.pkt.6 dały wyniki pozytywne. 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9. Podstawa płatności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>9.1. Ogólne ustalenia dotyczące podstawy płatności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tabs>
          <w:tab w:val="left" w:pos="426"/>
        </w:tabs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ab/>
      </w:r>
      <w:r w:rsidRPr="00F83947">
        <w:rPr>
          <w:rFonts w:ascii="Arial" w:hAnsi="Arial" w:cs="Arial"/>
        </w:rPr>
        <w:tab/>
        <w:t>Ogólne ustalenia dotyczące podstawy płatności podano w ST D.00.00.00 "Wymagania Ogólne".</w:t>
      </w:r>
    </w:p>
    <w:p w:rsid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</w:p>
    <w:p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>9.2. Cena jednostki obmiarowej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ab/>
      </w:r>
    </w:p>
    <w:p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Cena wykonania 1m ogrodzenia segmentowego lub balustrady obejmuje:</w:t>
      </w:r>
    </w:p>
    <w:p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lastRenderedPageBreak/>
        <w:t>prace pomiarowe i roboty przygotowawcze,</w:t>
      </w:r>
    </w:p>
    <w:p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wytworzenie segmentów ogrodzenia,</w:t>
      </w:r>
    </w:p>
    <w:p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wykonanie powłoki cynkowej i malarskiej,</w:t>
      </w:r>
    </w:p>
    <w:p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dostarczenie segmentów na budowę,</w:t>
      </w:r>
    </w:p>
    <w:p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nabycie i dostarczenie na budowę wyrobów niezbędnych do wykonania ogrodzenia,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nabycie i dostarczenie na budowę betonu lub jego składników i wytworzenie betonu na budowie, albo prefabrykatów, 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wykonanie i rozebranie deskowania fundamentów,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wykonanie wykopów z odwiezieniem nadmiaru gruntu,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pokrycie gudronem powierzchni styku słupów i betonu,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wykonanie fundamentów betonowych lub montaż prefabrykatów,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zasypanie wykopów z zagęszczeniem,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montaż balustrad i ogrodzenia,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pielęgnacja betonu fundamentów,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oznakowanie robót,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uporządkowanie terenu robót,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przeprowadzenie badań i pomiarów kontrolnych.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 xml:space="preserve">10. Przepisy związane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2"/>
        <w:gridCol w:w="6663"/>
      </w:tblGrid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tabs>
                <w:tab w:val="left" w:pos="255"/>
              </w:tabs>
              <w:spacing w:before="0" w:after="0"/>
              <w:ind w:right="-7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1.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PN-B-03264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Konstrukcje żelbetowe. Obliczenia statyczne i projektowanie.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2.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PN-H-04651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Ochrona przed korozją. Klasyfikacja i określenie agresywności korozyjnej środowisk.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3.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PN-EN-206-1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Beton zwykły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4.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PN-B-06251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Roboty betonowe i żelbetowe. Wymagania techniczne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5.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PN-EN 12620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Kruszywa do betonu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6.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PN-B-10285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Roboty malarskie budowlane farbami, lakierami i emaliami na spoinach bezwodnych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7.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PN-EN 197-01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Cement. 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8.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PN-EN 934-2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Domieszki do betonu, zaprawy i zaczynu .Część 2 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9.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PN-EN 1008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Woda zarobowa do betonu   i zapraw.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PN-H-74219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Rury stalowe bez szwu walcowane na gorąco ogólnego zastosowania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PN-H-74220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Rury stalowe bez szwu ciągnione i walcowane na zimno ogólnego przeznaczenia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PN-H-82200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Cynk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PN-H-84018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Stal niskostopowa o podwyższonej wytrzymałości. Gatunki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PN-H-84019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Stal węglowa konstrukcyjna wyższej jakości ogólnego przeznaczenia. Gatunki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PN-H-84020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Stal niestopowa konstrukcyjna ogólnego przeznaczenia. Gatunki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16.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PN-H-84023-07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Stal określonego zastosowania. Stal na rury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17.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PN-H-84030-02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Stal stopowa konstrukcyjna. Stal do nawęglania. Gatunki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18.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PN-H-97051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Ochrona przed korozją. Przygotowanie powierzchni stali, staliwa i żeliwa do malowania. Ogólne wytyczne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19.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PN-H-97052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Ochrona przed korozją. Ocena przygotowania powierzchni stali, staliwa i żeliwa do malowania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20.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PN-H-97053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Ochrona przed korozją. Malowanie konstrukcji stalowych. Ogólne wytyczne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21.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PN-ISO-8501-1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Przygotowanie podłoży stalowych przed nakładaniem farb i podobnych produktów. Stopnie skorodowania i stopnie przygotowania niezabezpieczonych podłoży stalowych oraz podłoży stalowych po całkowitym usunięciu wcześniej nałożonych powłok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22.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BN-73/0658-01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Rury stalowe profilowe ciągnione na zimno. Wymiary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23.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BN-89/1076-02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Ochrona przed korozją. Powłoki metalizacyjne cynkowe i aluminiowe na konstrukcjach stalowych, staliwnych i żeliwnych. Wymagania i badania</w:t>
            </w:r>
          </w:p>
        </w:tc>
      </w:tr>
      <w:tr w:rsidR="00F83947" w:rsidRPr="00F83947" w:rsidTr="00BA3F6E">
        <w:trPr>
          <w:trHeight w:val="143"/>
        </w:trPr>
        <w:tc>
          <w:tcPr>
            <w:tcW w:w="496" w:type="dxa"/>
            <w:shd w:val="clear" w:color="auto" w:fill="auto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24.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BN-88/6731-08</w:t>
            </w:r>
          </w:p>
        </w:tc>
        <w:tc>
          <w:tcPr>
            <w:tcW w:w="6663" w:type="dxa"/>
            <w:shd w:val="clear" w:color="auto" w:fill="auto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Cement. Transport i przechowywanie.</w:t>
            </w:r>
          </w:p>
        </w:tc>
      </w:tr>
      <w:tr w:rsidR="00F83947" w:rsidRPr="00F83947" w:rsidTr="00BA3F6E">
        <w:trPr>
          <w:trHeight w:val="142"/>
        </w:trPr>
        <w:tc>
          <w:tcPr>
            <w:tcW w:w="496" w:type="dxa"/>
            <w:shd w:val="clear" w:color="auto" w:fill="auto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25.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PN-91/M-98430</w:t>
            </w:r>
          </w:p>
        </w:tc>
        <w:tc>
          <w:tcPr>
            <w:tcW w:w="6663" w:type="dxa"/>
            <w:shd w:val="clear" w:color="auto" w:fill="auto"/>
          </w:tcPr>
          <w:p w:rsid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Spawalnictwo. Elektrody stalowe otulone do spawania napawania.</w:t>
            </w:r>
          </w:p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</w:p>
        </w:tc>
      </w:tr>
    </w:tbl>
    <w:p w:rsid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  <w:r w:rsidRPr="00F83947">
        <w:rPr>
          <w:rFonts w:ascii="Arial" w:hAnsi="Arial" w:cs="Arial"/>
          <w:b/>
          <w:sz w:val="20"/>
        </w:rPr>
        <w:t>10.2. Inne dokumenty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505"/>
      </w:tblGrid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26.</w:t>
            </w:r>
          </w:p>
        </w:tc>
        <w:tc>
          <w:tcPr>
            <w:tcW w:w="8505" w:type="dxa"/>
          </w:tcPr>
          <w:p w:rsidR="00F83947" w:rsidRPr="00F83947" w:rsidRDefault="00F83947" w:rsidP="00F83947">
            <w:pPr>
              <w:jc w:val="both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Katalog „Balustrady zabezpieczające” pt. KB4-4.3.7.(1)</w:t>
            </w:r>
          </w:p>
        </w:tc>
      </w:tr>
    </w:tbl>
    <w:p w:rsidR="00147EA4" w:rsidRPr="00F83947" w:rsidRDefault="00147EA4" w:rsidP="006E1F13">
      <w:pPr>
        <w:pStyle w:val="rozdzia"/>
      </w:pPr>
    </w:p>
    <w:sectPr w:rsidR="00147EA4" w:rsidRPr="00F83947" w:rsidSect="00F52B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2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CBA" w:rsidRDefault="00625CBA" w:rsidP="002C23F2">
      <w:r>
        <w:separator/>
      </w:r>
    </w:p>
  </w:endnote>
  <w:endnote w:type="continuationSeparator" w:id="0">
    <w:p w:rsidR="00625CBA" w:rsidRDefault="00625CBA" w:rsidP="002C2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748557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253237" w:rsidRPr="006E1F13" w:rsidRDefault="00253237">
        <w:pPr>
          <w:pStyle w:val="Stopka"/>
          <w:jc w:val="center"/>
          <w:rPr>
            <w:rFonts w:ascii="Arial" w:hAnsi="Arial" w:cs="Arial"/>
          </w:rPr>
        </w:pPr>
        <w:r w:rsidRPr="006E1F13">
          <w:rPr>
            <w:rFonts w:ascii="Arial" w:hAnsi="Arial" w:cs="Arial"/>
          </w:rPr>
          <w:fldChar w:fldCharType="begin"/>
        </w:r>
        <w:r w:rsidRPr="006E1F13">
          <w:rPr>
            <w:rFonts w:ascii="Arial" w:hAnsi="Arial" w:cs="Arial"/>
          </w:rPr>
          <w:instrText>PAGE   \* MERGEFORMAT</w:instrText>
        </w:r>
        <w:r w:rsidRPr="006E1F13">
          <w:rPr>
            <w:rFonts w:ascii="Arial" w:hAnsi="Arial" w:cs="Arial"/>
          </w:rPr>
          <w:fldChar w:fldCharType="separate"/>
        </w:r>
        <w:r w:rsidR="00F52BF0">
          <w:rPr>
            <w:rFonts w:ascii="Arial" w:hAnsi="Arial" w:cs="Arial"/>
            <w:noProof/>
          </w:rPr>
          <w:t>210</w:t>
        </w:r>
        <w:r w:rsidRPr="006E1F13">
          <w:rPr>
            <w:rFonts w:ascii="Arial" w:hAnsi="Arial" w:cs="Arial"/>
          </w:rPr>
          <w:fldChar w:fldCharType="end"/>
        </w:r>
      </w:p>
    </w:sdtContent>
  </w:sdt>
  <w:p w:rsidR="002C23F2" w:rsidRDefault="002C23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CBA" w:rsidRDefault="00625CBA" w:rsidP="002C23F2">
      <w:r>
        <w:separator/>
      </w:r>
    </w:p>
  </w:footnote>
  <w:footnote w:type="continuationSeparator" w:id="0">
    <w:p w:rsidR="00625CBA" w:rsidRDefault="00625CBA" w:rsidP="002C2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F13" w:rsidRPr="006E1F13" w:rsidRDefault="006E1F13" w:rsidP="006E1F13">
    <w:pPr>
      <w:pStyle w:val="rozdzia"/>
      <w:pBdr>
        <w:bottom w:val="single" w:sz="4" w:space="1" w:color="auto"/>
      </w:pBdr>
    </w:pPr>
    <w:r w:rsidRPr="006E1F13">
      <w:t>D.07.06.02</w:t>
    </w:r>
    <w:r w:rsidRPr="006E1F13">
      <w:tab/>
      <w:t>URZĄDZENIA  ZABEZPIECZAJĄCE RUCH  PIESZY I ROWEROWY</w:t>
    </w:r>
  </w:p>
  <w:p w:rsidR="006E1F13" w:rsidRDefault="006E1F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0048A9"/>
    <w:multiLevelType w:val="singleLevel"/>
    <w:tmpl w:val="70AE2B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F9F026F"/>
    <w:multiLevelType w:val="singleLevel"/>
    <w:tmpl w:val="996C6FE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0FB13478"/>
    <w:multiLevelType w:val="multilevel"/>
    <w:tmpl w:val="025CFC38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10347BF"/>
    <w:multiLevelType w:val="singleLevel"/>
    <w:tmpl w:val="996C6FE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3B2710C7"/>
    <w:multiLevelType w:val="hybridMultilevel"/>
    <w:tmpl w:val="B54C96A4"/>
    <w:lvl w:ilvl="0" w:tplc="0C2E976C">
      <w:numFmt w:val="bullet"/>
      <w:lvlText w:val=""/>
      <w:legacy w:legacy="1" w:legacySpace="120" w:legacyIndent="284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C64FA1"/>
    <w:multiLevelType w:val="multilevel"/>
    <w:tmpl w:val="979EF6D2"/>
    <w:lvl w:ilvl="0">
      <w:start w:val="7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0085B2A"/>
    <w:multiLevelType w:val="hybridMultilevel"/>
    <w:tmpl w:val="512C56DC"/>
    <w:lvl w:ilvl="0" w:tplc="FCA03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F748C8"/>
    <w:multiLevelType w:val="singleLevel"/>
    <w:tmpl w:val="E438DD52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hint="default"/>
      </w:rPr>
    </w:lvl>
  </w:abstractNum>
  <w:abstractNum w:abstractNumId="10">
    <w:nsid w:val="7C76165B"/>
    <w:multiLevelType w:val="hybridMultilevel"/>
    <w:tmpl w:val="90628028"/>
    <w:lvl w:ilvl="0" w:tplc="0C2E976C">
      <w:numFmt w:val="bullet"/>
      <w:lvlText w:val=""/>
      <w:legacy w:legacy="1" w:legacySpace="120" w:legacyIndent="284"/>
      <w:lvlJc w:val="left"/>
      <w:pPr>
        <w:ind w:left="1277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9"/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2"/>
  </w:num>
  <w:num w:numId="7">
    <w:abstractNumId w:val="4"/>
  </w:num>
  <w:num w:numId="8">
    <w:abstractNumId w:val="1"/>
  </w:num>
  <w:num w:numId="9">
    <w:abstractNumId w:val="6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3C0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15AD"/>
    <w:rsid w:val="00067154"/>
    <w:rsid w:val="00067D4E"/>
    <w:rsid w:val="00075880"/>
    <w:rsid w:val="000769CA"/>
    <w:rsid w:val="00080A6A"/>
    <w:rsid w:val="00084BD1"/>
    <w:rsid w:val="00086576"/>
    <w:rsid w:val="00087692"/>
    <w:rsid w:val="00090387"/>
    <w:rsid w:val="000A0D68"/>
    <w:rsid w:val="000A50FF"/>
    <w:rsid w:val="000B2CEA"/>
    <w:rsid w:val="000B4E96"/>
    <w:rsid w:val="000B743A"/>
    <w:rsid w:val="000B77CF"/>
    <w:rsid w:val="000C52C9"/>
    <w:rsid w:val="000D5429"/>
    <w:rsid w:val="000D64D4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47EA4"/>
    <w:rsid w:val="0015000C"/>
    <w:rsid w:val="0015717A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E4F8C"/>
    <w:rsid w:val="001F1517"/>
    <w:rsid w:val="001F5DED"/>
    <w:rsid w:val="001F7443"/>
    <w:rsid w:val="00201444"/>
    <w:rsid w:val="00211422"/>
    <w:rsid w:val="00213548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3237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23F2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6D1"/>
    <w:rsid w:val="0037684F"/>
    <w:rsid w:val="00376B08"/>
    <w:rsid w:val="00380573"/>
    <w:rsid w:val="00383262"/>
    <w:rsid w:val="003914A3"/>
    <w:rsid w:val="00391901"/>
    <w:rsid w:val="0039251E"/>
    <w:rsid w:val="00395DFF"/>
    <w:rsid w:val="00397A44"/>
    <w:rsid w:val="003A13B3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2E5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32FD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77A7C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43C0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5CBA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1F13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B6F92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1E04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07B6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5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D6768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5503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574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2BF0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3947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30DD689-58B3-4EFE-B7D3-3F5D5EE1C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2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95503"/>
    <w:pPr>
      <w:keepNext/>
      <w:spacing w:before="120" w:after="120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6E1F13"/>
    <w:pPr>
      <w:tabs>
        <w:tab w:val="left" w:pos="1701"/>
        <w:tab w:val="left" w:pos="31680"/>
        <w:tab w:val="left" w:pos="-31680"/>
        <w:tab w:val="left" w:pos="-31336"/>
        <w:tab w:val="left" w:pos="-30436"/>
      </w:tabs>
      <w:ind w:left="1701" w:hanging="1701"/>
      <w:jc w:val="both"/>
    </w:pPr>
    <w:rPr>
      <w:rFonts w:ascii="Arial" w:hAnsi="Arial" w:cs="Arial"/>
      <w:sz w:val="22"/>
    </w:rPr>
  </w:style>
  <w:style w:type="paragraph" w:styleId="Nagwek">
    <w:name w:val="header"/>
    <w:basedOn w:val="Normalny"/>
    <w:link w:val="NagwekZnak"/>
    <w:rsid w:val="002C23F2"/>
    <w:pPr>
      <w:tabs>
        <w:tab w:val="center" w:pos="4819"/>
        <w:tab w:val="right" w:pos="9071"/>
      </w:tabs>
    </w:pPr>
    <w:rPr>
      <w:rFonts w:ascii="CG Times" w:hAnsi="CG Times"/>
    </w:rPr>
  </w:style>
  <w:style w:type="character" w:customStyle="1" w:styleId="NagwekZnak">
    <w:name w:val="Nagłówek Znak"/>
    <w:basedOn w:val="Domylnaczcionkaakapitu"/>
    <w:link w:val="Nagwek"/>
    <w:semiHidden/>
    <w:rsid w:val="002C23F2"/>
    <w:rPr>
      <w:rFonts w:ascii="CG Times" w:eastAsia="Times New Roman" w:hAnsi="CG Times" w:cs="Times New Roman"/>
      <w:sz w:val="20"/>
      <w:szCs w:val="20"/>
      <w:lang w:eastAsia="pl-PL"/>
    </w:rPr>
  </w:style>
  <w:style w:type="paragraph" w:customStyle="1" w:styleId="TEKST1Tre">
    <w:name w:val="TEKST_1 Treść"/>
    <w:rsid w:val="002C23F2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11">
    <w:name w:val="PUNKTY_1 1."/>
    <w:next w:val="TEKST1Tre"/>
    <w:rsid w:val="002C23F2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2C23F2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Akapitzlist">
    <w:name w:val="List Paragraph"/>
    <w:basedOn w:val="Normalny"/>
    <w:uiPriority w:val="34"/>
    <w:qFormat/>
    <w:rsid w:val="002C23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2C2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23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9550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5503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9550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Iwony">
    <w:name w:val="Styl Iwony"/>
    <w:basedOn w:val="Normalny"/>
    <w:rsid w:val="00C95503"/>
    <w:pPr>
      <w:spacing w:before="120" w:after="120"/>
      <w:jc w:val="both"/>
    </w:pPr>
    <w:rPr>
      <w:rFonts w:ascii="Bookman Old Style" w:hAnsi="Bookman Old Style"/>
      <w:sz w:val="24"/>
    </w:rPr>
  </w:style>
  <w:style w:type="paragraph" w:customStyle="1" w:styleId="tekst">
    <w:name w:val="tekst"/>
    <w:rsid w:val="00C955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iwony0">
    <w:name w:val="styliwony"/>
    <w:basedOn w:val="Normalny"/>
    <w:rsid w:val="00C95503"/>
    <w:pPr>
      <w:spacing w:before="100" w:beforeAutospacing="1" w:after="100" w:afterAutospacing="1"/>
    </w:pPr>
    <w:rPr>
      <w:sz w:val="24"/>
      <w:szCs w:val="24"/>
    </w:rPr>
  </w:style>
  <w:style w:type="paragraph" w:customStyle="1" w:styleId="tekstost">
    <w:name w:val="tekstost"/>
    <w:basedOn w:val="Normalny"/>
    <w:rsid w:val="00C95503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32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2F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2410</Words>
  <Characters>14464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18</cp:revision>
  <cp:lastPrinted>2016-09-01T16:09:00Z</cp:lastPrinted>
  <dcterms:created xsi:type="dcterms:W3CDTF">2015-01-11T19:52:00Z</dcterms:created>
  <dcterms:modified xsi:type="dcterms:W3CDTF">2018-09-22T18:08:00Z</dcterms:modified>
</cp:coreProperties>
</file>